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255"/>
        <w:gridCol w:w="4590"/>
        <w:gridCol w:w="540"/>
        <w:gridCol w:w="2255"/>
        <w:gridCol w:w="2160"/>
      </w:tblGrid>
      <w:tr w:rsidR="002102D1" w14:paraId="3F7361D3" w14:textId="77777777" w:rsidTr="00E076BA">
        <w:trPr>
          <w:trHeight w:val="432"/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F7361D2" w14:textId="77777777" w:rsidR="002102D1" w:rsidRPr="00B95F4F" w:rsidRDefault="00F65521" w:rsidP="009432B3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I: Instructions</w:t>
            </w:r>
          </w:p>
        </w:tc>
      </w:tr>
      <w:tr w:rsidR="002102D1" w14:paraId="3F7361D5" w14:textId="77777777" w:rsidTr="00E076BA">
        <w:trPr>
          <w:trHeight w:val="547"/>
          <w:jc w:val="center"/>
        </w:trPr>
        <w:tc>
          <w:tcPr>
            <w:tcW w:w="10800" w:type="dxa"/>
            <w:gridSpan w:val="5"/>
            <w:tcBorders>
              <w:bottom w:val="nil"/>
            </w:tcBorders>
            <w:vAlign w:val="center"/>
          </w:tcPr>
          <w:p w14:paraId="3F7361D4" w14:textId="4357D3B1" w:rsidR="002102D1" w:rsidRPr="00AD3E96" w:rsidRDefault="00AD3E96" w:rsidP="00AD3E96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D679C" w:rsidRPr="00AD3E96">
              <w:rPr>
                <w:rFonts w:ascii="Arial" w:hAnsi="Arial" w:cs="Arial"/>
                <w:bCs/>
                <w:sz w:val="20"/>
                <w:szCs w:val="20"/>
              </w:rPr>
              <w:t xml:space="preserve">Use this </w:t>
            </w:r>
            <w:r w:rsidR="00B42684" w:rsidRPr="00AD3E96">
              <w:rPr>
                <w:rFonts w:ascii="Arial" w:hAnsi="Arial" w:cs="Arial"/>
                <w:bCs/>
                <w:sz w:val="20"/>
                <w:szCs w:val="20"/>
              </w:rPr>
              <w:t>form</w:t>
            </w:r>
            <w:r w:rsidR="004D679C" w:rsidRPr="00AD3E96">
              <w:rPr>
                <w:rFonts w:ascii="Arial" w:hAnsi="Arial" w:cs="Arial"/>
                <w:bCs/>
                <w:sz w:val="20"/>
                <w:szCs w:val="20"/>
              </w:rPr>
              <w:t xml:space="preserve"> to help determine whether FDA Investigational D</w:t>
            </w:r>
            <w:r w:rsidR="00A8027B" w:rsidRPr="00AD3E96">
              <w:rPr>
                <w:rFonts w:ascii="Arial" w:hAnsi="Arial" w:cs="Arial"/>
                <w:bCs/>
                <w:sz w:val="20"/>
                <w:szCs w:val="20"/>
              </w:rPr>
              <w:t xml:space="preserve">evice Exemption </w:t>
            </w:r>
            <w:r w:rsidR="004D679C" w:rsidRPr="00AD3E96">
              <w:rPr>
                <w:rFonts w:ascii="Arial" w:hAnsi="Arial" w:cs="Arial"/>
                <w:bCs/>
                <w:sz w:val="20"/>
                <w:szCs w:val="20"/>
              </w:rPr>
              <w:t>(ID</w:t>
            </w:r>
            <w:r w:rsidR="00A8027B" w:rsidRPr="00AD3E96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4D679C" w:rsidRPr="00AD3E96">
              <w:rPr>
                <w:rFonts w:ascii="Arial" w:hAnsi="Arial" w:cs="Arial"/>
                <w:bCs/>
                <w:sz w:val="20"/>
                <w:szCs w:val="20"/>
              </w:rPr>
              <w:t xml:space="preserve">) regulations </w:t>
            </w:r>
            <w:r w:rsidR="00D36DBA" w:rsidRPr="00AD3E96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="00A8027B" w:rsidRPr="00AD3E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0" w:history="1">
              <w:r w:rsidR="00A8027B" w:rsidRPr="00AD3E96">
                <w:rPr>
                  <w:rStyle w:val="Hyperlink"/>
                  <w:rFonts w:ascii="Arial" w:hAnsi="Arial" w:cs="Arial"/>
                  <w:sz w:val="20"/>
                  <w:szCs w:val="20"/>
                </w:rPr>
                <w:t>21 CF</w:t>
              </w:r>
              <w:r w:rsidR="00A8027B" w:rsidRPr="00AD3E96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="00A8027B" w:rsidRPr="00AD3E9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812</w:t>
              </w:r>
            </w:hyperlink>
            <w:r w:rsidR="00D36DBA" w:rsidRPr="00AD3E96">
              <w:rPr>
                <w:rFonts w:ascii="Arial" w:hAnsi="Arial" w:cs="Arial"/>
                <w:bCs/>
                <w:sz w:val="20"/>
                <w:szCs w:val="20"/>
              </w:rPr>
              <w:t xml:space="preserve"> a</w:t>
            </w:r>
            <w:r w:rsidR="004D679C" w:rsidRPr="00AD3E96">
              <w:rPr>
                <w:rFonts w:ascii="Arial" w:hAnsi="Arial" w:cs="Arial"/>
                <w:bCs/>
                <w:sz w:val="20"/>
                <w:szCs w:val="20"/>
              </w:rPr>
              <w:t xml:space="preserve">pply to the research project. </w:t>
            </w:r>
            <w:r w:rsidR="00C26E5F" w:rsidRPr="00AD3E96">
              <w:rPr>
                <w:rFonts w:ascii="Arial" w:hAnsi="Arial" w:cs="Arial"/>
                <w:bCs/>
                <w:sz w:val="20"/>
                <w:szCs w:val="20"/>
              </w:rPr>
              <w:t xml:space="preserve">It is recommended to complete this checklist during protocol development. </w:t>
            </w:r>
          </w:p>
        </w:tc>
      </w:tr>
      <w:tr w:rsidR="002102D1" w14:paraId="3F7361D7" w14:textId="77777777" w:rsidTr="00E076BA">
        <w:trPr>
          <w:trHeight w:val="54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3F7361D6" w14:textId="1B6109FD" w:rsidR="002102D1" w:rsidRPr="00AD3E96" w:rsidRDefault="00AD3E96" w:rsidP="00AD3E96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6E5F" w:rsidRPr="00AD3E96">
              <w:rPr>
                <w:rFonts w:ascii="Arial" w:hAnsi="Arial" w:cs="Arial"/>
                <w:sz w:val="20"/>
                <w:szCs w:val="20"/>
              </w:rPr>
              <w:t>Complete this form electronically and include it with your OSF Research Application for device studies where an IDE application to FDA has not been completed.</w:t>
            </w:r>
          </w:p>
        </w:tc>
      </w:tr>
      <w:tr w:rsidR="00C20BC1" w14:paraId="3F7361D9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1D8" w14:textId="74C8FCD5" w:rsidR="00C20BC1" w:rsidRPr="00AD3E96" w:rsidRDefault="00AD3E96" w:rsidP="00AD3E96">
            <w:pPr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0BC1" w:rsidRPr="00AD3E96">
              <w:rPr>
                <w:rFonts w:ascii="Arial" w:hAnsi="Arial" w:cs="Arial"/>
                <w:sz w:val="20"/>
                <w:szCs w:val="20"/>
              </w:rPr>
              <w:t>IDE regulations describe 3 types of device studies:</w:t>
            </w:r>
          </w:p>
        </w:tc>
      </w:tr>
      <w:tr w:rsidR="00C20BC1" w14:paraId="3F7361DB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DA" w14:textId="41CB014A" w:rsidR="00C20BC1" w:rsidRPr="00AD3E96" w:rsidRDefault="00AD3E96" w:rsidP="00AD3E96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0BC1" w:rsidRPr="00AD3E96">
              <w:rPr>
                <w:rFonts w:ascii="Arial" w:hAnsi="Arial" w:cs="Arial"/>
                <w:sz w:val="20"/>
                <w:szCs w:val="20"/>
              </w:rPr>
              <w:t>device studies that are exempt from IDE regulations;</w:t>
            </w:r>
          </w:p>
        </w:tc>
      </w:tr>
      <w:tr w:rsidR="00C20BC1" w14:paraId="3F7361DD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DC" w14:textId="04B2EE16" w:rsidR="00C20BC1" w:rsidRPr="00AD3E96" w:rsidRDefault="00AD3E96" w:rsidP="00AD3E96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0BC1" w:rsidRPr="00AD3E96">
              <w:rPr>
                <w:rFonts w:ascii="Arial" w:hAnsi="Arial" w:cs="Arial"/>
                <w:sz w:val="20"/>
                <w:szCs w:val="20"/>
              </w:rPr>
              <w:t>significant risk (SR) device studies that must comply with the IDE regulations; and</w:t>
            </w:r>
          </w:p>
        </w:tc>
      </w:tr>
      <w:tr w:rsidR="00C20BC1" w14:paraId="3F7361DF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3F7361DE" w14:textId="09AB3293" w:rsidR="00C20BC1" w:rsidRPr="00AD3E96" w:rsidRDefault="00AD3E96" w:rsidP="00AD3E96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c.</w:t>
            </w:r>
            <w:r w:rsidRPr="00B95F4F">
              <w:rPr>
                <w:rFonts w:ascii="Arial" w:hAnsi="Arial" w:cs="Arial"/>
                <w:color w:val="833C0B" w:themeColor="accent2" w:themeShade="80"/>
                <w:sz w:val="20"/>
                <w:szCs w:val="20"/>
              </w:rPr>
              <w:t xml:space="preserve">  </w:t>
            </w:r>
            <w:r w:rsidR="00C20BC1" w:rsidRPr="00AD3E96">
              <w:rPr>
                <w:rFonts w:ascii="Arial" w:hAnsi="Arial" w:cs="Arial"/>
                <w:sz w:val="20"/>
                <w:szCs w:val="20"/>
              </w:rPr>
              <w:t>nonsignificant risk (NSR) device studies that must comply with abbreviated IDE regulations.</w:t>
            </w:r>
          </w:p>
        </w:tc>
      </w:tr>
      <w:tr w:rsidR="00C20BC1" w14:paraId="3F7361E1" w14:textId="77777777" w:rsidTr="00E076BA">
        <w:trPr>
          <w:trHeight w:val="792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3F7361E0" w14:textId="5D9873FC" w:rsidR="00C20BC1" w:rsidRPr="00AD3E96" w:rsidRDefault="00AD3E96" w:rsidP="00AD3E96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63511" w:rsidRPr="00AD3E96">
              <w:rPr>
                <w:rFonts w:ascii="Arial" w:hAnsi="Arial" w:cs="Arial"/>
                <w:sz w:val="20"/>
                <w:szCs w:val="20"/>
              </w:rPr>
              <w:t>For device studies that are not exempt, the sponsors/PIs are responsible for making the initial SR/NSR determination. Unless the FDA has already made a SR/NSR determination, the IRB is required to review the sponsor’s/PI’s determination.</w:t>
            </w:r>
            <w:r w:rsidR="006250D8" w:rsidRPr="00AD3E96">
              <w:rPr>
                <w:rFonts w:ascii="Arial" w:hAnsi="Arial" w:cs="Arial"/>
                <w:sz w:val="20"/>
                <w:szCs w:val="20"/>
              </w:rPr>
              <w:t xml:space="preserve"> Consult the </w:t>
            </w:r>
            <w:hyperlink r:id="rId11" w:history="1">
              <w:r w:rsidR="006250D8" w:rsidRPr="00AD3E96">
                <w:rPr>
                  <w:rStyle w:val="Hyperlink"/>
                  <w:rFonts w:ascii="Arial" w:hAnsi="Arial" w:cs="Arial"/>
                  <w:sz w:val="20"/>
                  <w:szCs w:val="20"/>
                </w:rPr>
                <w:t>FDA guidance on SR/NS</w:t>
              </w:r>
              <w:r w:rsidR="006250D8" w:rsidRPr="00AD3E96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="006250D8" w:rsidRPr="00AD3E9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device studies</w:t>
              </w:r>
            </w:hyperlink>
            <w:r w:rsidR="006250D8" w:rsidRPr="00AD3E96">
              <w:rPr>
                <w:rFonts w:ascii="Arial" w:hAnsi="Arial" w:cs="Arial"/>
                <w:sz w:val="20"/>
                <w:szCs w:val="20"/>
              </w:rPr>
              <w:t xml:space="preserve"> for further details.</w:t>
            </w:r>
          </w:p>
        </w:tc>
      </w:tr>
      <w:tr w:rsidR="002102D1" w14:paraId="3F7361E3" w14:textId="77777777" w:rsidTr="00E076BA">
        <w:trPr>
          <w:trHeight w:val="432"/>
          <w:jc w:val="center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bottom"/>
          </w:tcPr>
          <w:p w14:paraId="3F7361E2" w14:textId="77777777" w:rsidR="002102D1" w:rsidRPr="00B95F4F" w:rsidRDefault="00F65521" w:rsidP="009432B3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II: </w:t>
            </w:r>
            <w:r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General Information</w:t>
            </w:r>
          </w:p>
        </w:tc>
      </w:tr>
      <w:tr w:rsidR="00F65521" w14:paraId="3F7361E5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3F7361E4" w14:textId="52E149E7" w:rsidR="00F65521" w:rsidRPr="00C45C57" w:rsidRDefault="00C45C57" w:rsidP="00C45C57">
            <w:pPr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16544" w:rsidRPr="00C45C57">
              <w:rPr>
                <w:rFonts w:ascii="Arial" w:hAnsi="Arial" w:cs="Arial"/>
                <w:b/>
                <w:sz w:val="20"/>
                <w:szCs w:val="20"/>
              </w:rPr>
              <w:t>Principal Investigator Name:</w:t>
            </w:r>
            <w:r w:rsidR="00016544" w:rsidRPr="00C45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16544" w:rsidRPr="00C45C5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16544" w:rsidRPr="00C45C5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2460D3" w14:paraId="3F7361E7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1E6" w14:textId="75A956FF" w:rsidR="002460D3" w:rsidRPr="00C45C57" w:rsidRDefault="00C45C57" w:rsidP="00C45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16544" w:rsidRPr="00C45C57">
              <w:rPr>
                <w:rFonts w:ascii="Arial" w:hAnsi="Arial" w:cs="Arial"/>
                <w:b/>
                <w:sz w:val="20"/>
                <w:szCs w:val="20"/>
              </w:rPr>
              <w:t>Project/Protocol Title:</w:t>
            </w:r>
            <w:r w:rsidR="00016544" w:rsidRPr="00C45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016544" w14:paraId="3F7361E9" w14:textId="77777777" w:rsidTr="00E076BA">
        <w:trPr>
          <w:trHeight w:val="432"/>
          <w:jc w:val="center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bottom"/>
          </w:tcPr>
          <w:p w14:paraId="3F7361E8" w14:textId="77777777" w:rsidR="00016544" w:rsidRPr="00B95F4F" w:rsidRDefault="00016544" w:rsidP="009432B3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III: </w:t>
            </w:r>
            <w:r w:rsidR="00F475A8"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ID</w:t>
            </w:r>
            <w:r w:rsidR="00EF6DDB"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E</w:t>
            </w:r>
            <w:r w:rsidR="00F475A8"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 Applicability</w:t>
            </w:r>
          </w:p>
        </w:tc>
      </w:tr>
      <w:tr w:rsidR="00DE1AFB" w14:paraId="3F7361EB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1EA" w14:textId="6E4C31F8" w:rsidR="00DE1AFB" w:rsidRPr="00C45C57" w:rsidRDefault="00C45C57" w:rsidP="00C45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E1AFB" w:rsidRPr="00C45C57">
              <w:rPr>
                <w:rFonts w:ascii="Arial" w:hAnsi="Arial" w:cs="Arial"/>
                <w:b/>
                <w:sz w:val="20"/>
                <w:szCs w:val="20"/>
              </w:rPr>
              <w:t xml:space="preserve">Is the device to be used in the research </w:t>
            </w:r>
            <w:r w:rsidR="00DE1AFB" w:rsidRPr="00C45C57">
              <w:rPr>
                <w:rFonts w:ascii="Arial" w:hAnsi="Arial" w:cs="Arial"/>
                <w:b/>
                <w:sz w:val="20"/>
                <w:szCs w:val="20"/>
                <w:lang w:val="en"/>
              </w:rPr>
              <w:t>a legally marketed device used in accordance with its labeling</w:t>
            </w:r>
            <w:r w:rsidR="00DE1AFB" w:rsidRPr="00C45C5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DE1AFB" w14:paraId="3F7361ED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EC" w14:textId="77777777" w:rsidR="00DE1AFB" w:rsidRPr="00950AE0" w:rsidRDefault="00DE1AFB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E1AFB" w14:paraId="3F7361F0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EE" w14:textId="77777777" w:rsidR="00DE1AFB" w:rsidRDefault="00DE1AFB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C41C9">
              <w:rPr>
                <w:rFonts w:ascii="Arial" w:hAnsi="Arial" w:cs="Arial"/>
                <w:sz w:val="20"/>
                <w:szCs w:val="20"/>
              </w:rPr>
              <w:t xml:space="preserve">he device </w:t>
            </w:r>
            <w:r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Pr="001C41C9">
              <w:rPr>
                <w:rFonts w:ascii="Arial" w:hAnsi="Arial" w:cs="Arial"/>
                <w:sz w:val="20"/>
                <w:szCs w:val="20"/>
              </w:rPr>
              <w:t>is exempt from IDE regulations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C41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7361EF" w14:textId="77777777" w:rsidR="00DE1AFB" w:rsidRPr="00950AE0" w:rsidRDefault="00DE1AFB" w:rsidP="00C45C57">
            <w:pPr>
              <w:ind w:firstLine="1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 completing Section III here and proceed to Section IV.</w:t>
            </w:r>
          </w:p>
        </w:tc>
      </w:tr>
      <w:tr w:rsidR="00016544" w14:paraId="3F7361F2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1F1" w14:textId="43543B2D" w:rsidR="00016544" w:rsidRPr="00C45C57" w:rsidRDefault="00C45C57" w:rsidP="00C45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F6DDB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device </w:t>
            </w:r>
            <w:r w:rsidR="00550EF2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be used </w:t>
            </w:r>
            <w:r w:rsidR="00EF6DDB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in th</w:t>
            </w:r>
            <w:r w:rsidR="00550EF2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EF6DDB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research </w:t>
            </w:r>
            <w:r w:rsidR="00550EF2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a diagnostic device</w:t>
            </w:r>
            <w:r w:rsidR="00AA7687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292BB5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7687" w14:paraId="3F7361F4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F3" w14:textId="77777777" w:rsidR="00AA7687" w:rsidRPr="00950AE0" w:rsidRDefault="00AA7687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A7687" w14:paraId="3F7361F6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3F7361F5" w14:textId="77777777" w:rsidR="00AA7687" w:rsidRPr="00950AE0" w:rsidRDefault="00AA7687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A7687" w14:paraId="3F7361F8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F7" w14:textId="184CD10D" w:rsidR="00AA7687" w:rsidRPr="00C45C57" w:rsidRDefault="00C45C57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A7687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the testing of the diagnostic device </w:t>
            </w:r>
            <w:r w:rsidR="00AA7687" w:rsidRPr="00C45C57">
              <w:rPr>
                <w:rFonts w:ascii="Arial" w:hAnsi="Arial" w:cs="Arial"/>
                <w:b/>
                <w:sz w:val="20"/>
                <w:szCs w:val="20"/>
              </w:rPr>
              <w:t>meet the all of the following criteria?</w:t>
            </w:r>
          </w:p>
        </w:tc>
      </w:tr>
      <w:tr w:rsidR="00EF6DDB" w14:paraId="3F7361FA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F9" w14:textId="43C19776" w:rsidR="00EF6DDB" w:rsidRPr="00AA7687" w:rsidRDefault="00B95F4F" w:rsidP="00B95F4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 xml:space="preserve">- </w:t>
            </w:r>
            <w:r w:rsidR="00AA7687" w:rsidRPr="00AA7687">
              <w:rPr>
                <w:rFonts w:ascii="Arial" w:hAnsi="Arial" w:cs="Arial"/>
                <w:bCs/>
                <w:sz w:val="20"/>
                <w:szCs w:val="20"/>
              </w:rPr>
              <w:t xml:space="preserve">It complies with the labeling requirements of </w:t>
            </w:r>
            <w:hyperlink r:id="rId12" w:anchor="se21.8.809_110" w:history="1">
              <w:r w:rsidR="00AA7687" w:rsidRPr="00AA768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21 CFR 80</w:t>
              </w:r>
              <w:r w:rsidR="00AA7687" w:rsidRPr="00AA768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9</w:t>
              </w:r>
              <w:r w:rsidR="00AA7687" w:rsidRPr="00AA768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.10(c)</w:t>
              </w:r>
            </w:hyperlink>
            <w:r w:rsidR="00AA7687" w:rsidRPr="00AA768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A7687" w14:paraId="3F7361FC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FB" w14:textId="74DC6DBE" w:rsidR="00AA7687" w:rsidRDefault="00B95F4F" w:rsidP="00B95F4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687">
              <w:rPr>
                <w:rFonts w:ascii="Arial" w:hAnsi="Arial" w:cs="Arial"/>
                <w:sz w:val="20"/>
                <w:szCs w:val="20"/>
              </w:rPr>
              <w:t>It is non-invasive.</w:t>
            </w:r>
          </w:p>
        </w:tc>
      </w:tr>
      <w:tr w:rsidR="00550EF2" w14:paraId="3F7361FE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FD" w14:textId="476B1719" w:rsidR="00550EF2" w:rsidRDefault="00B95F4F" w:rsidP="00B95F4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357">
              <w:rPr>
                <w:rFonts w:ascii="Arial" w:hAnsi="Arial" w:cs="Arial"/>
                <w:sz w:val="20"/>
                <w:szCs w:val="20"/>
              </w:rPr>
              <w:t>It does not require an invasive sampling procedure that presents significant risk.</w:t>
            </w:r>
          </w:p>
        </w:tc>
      </w:tr>
      <w:tr w:rsidR="00550EF2" w14:paraId="3F736200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1FF" w14:textId="7261E455" w:rsidR="00550EF2" w:rsidRDefault="00B95F4F" w:rsidP="00B95F4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357">
              <w:rPr>
                <w:rFonts w:ascii="Arial" w:hAnsi="Arial" w:cs="Arial"/>
                <w:sz w:val="20"/>
                <w:szCs w:val="20"/>
              </w:rPr>
              <w:t>It does not by design or intention introduce energy into a subject.</w:t>
            </w:r>
          </w:p>
        </w:tc>
      </w:tr>
      <w:tr w:rsidR="00550EF2" w14:paraId="3F736202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01" w14:textId="3081914F" w:rsidR="00550EF2" w:rsidRDefault="00B95F4F" w:rsidP="00B95F4F">
            <w:pPr>
              <w:pStyle w:val="ListParagraph"/>
              <w:ind w:left="864" w:hanging="144"/>
              <w:rPr>
                <w:rFonts w:ascii="Arial" w:hAnsi="Arial" w:cs="Arial"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357">
              <w:rPr>
                <w:rFonts w:ascii="Arial" w:hAnsi="Arial" w:cs="Arial"/>
                <w:sz w:val="20"/>
                <w:szCs w:val="20"/>
              </w:rPr>
              <w:t>It is not used as a diagnostic procedure without confirmation by another medically established diagnostic product or procedure.</w:t>
            </w:r>
          </w:p>
        </w:tc>
      </w:tr>
      <w:tr w:rsidR="00AA7687" w14:paraId="3F736205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03" w14:textId="77777777" w:rsidR="001C41C9" w:rsidRDefault="00AA7687" w:rsidP="00B95F4F">
            <w:pPr>
              <w:ind w:left="576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1C9">
              <w:rPr>
                <w:rFonts w:ascii="Arial" w:hAnsi="Arial" w:cs="Arial"/>
                <w:sz w:val="20"/>
                <w:szCs w:val="20"/>
              </w:rPr>
              <w:t>T</w:t>
            </w:r>
            <w:r w:rsidR="001C41C9" w:rsidRPr="001C41C9">
              <w:rPr>
                <w:rFonts w:ascii="Arial" w:hAnsi="Arial" w:cs="Arial"/>
                <w:sz w:val="20"/>
                <w:szCs w:val="20"/>
              </w:rPr>
              <w:t xml:space="preserve">he device </w:t>
            </w:r>
            <w:r w:rsidR="00F52A95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="001C41C9" w:rsidRPr="001C41C9">
              <w:rPr>
                <w:rFonts w:ascii="Arial" w:hAnsi="Arial" w:cs="Arial"/>
                <w:sz w:val="20"/>
                <w:szCs w:val="20"/>
              </w:rPr>
              <w:t xml:space="preserve">requires IDE approval </w:t>
            </w:r>
            <w:r w:rsidR="001C41C9">
              <w:rPr>
                <w:rFonts w:ascii="Arial" w:hAnsi="Arial" w:cs="Arial"/>
                <w:sz w:val="20"/>
                <w:szCs w:val="20"/>
              </w:rPr>
              <w:t>from the FDA.</w:t>
            </w:r>
          </w:p>
          <w:p w14:paraId="3F736204" w14:textId="77777777" w:rsidR="00AA7687" w:rsidRPr="00950AE0" w:rsidRDefault="00AA7687" w:rsidP="00C45C57">
            <w:pPr>
              <w:ind w:firstLine="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 completing Section III here</w:t>
            </w:r>
            <w:r w:rsidR="001C41C9">
              <w:rPr>
                <w:rFonts w:ascii="Arial" w:hAnsi="Arial" w:cs="Arial"/>
                <w:sz w:val="20"/>
                <w:szCs w:val="20"/>
              </w:rPr>
              <w:t xml:space="preserve"> and p</w:t>
            </w:r>
            <w:r>
              <w:rPr>
                <w:rFonts w:ascii="Arial" w:hAnsi="Arial" w:cs="Arial"/>
                <w:sz w:val="20"/>
                <w:szCs w:val="20"/>
              </w:rPr>
              <w:t>roceed to Section IV.</w:t>
            </w:r>
          </w:p>
        </w:tc>
      </w:tr>
      <w:tr w:rsidR="00AA7687" w14:paraId="3F736208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3F736206" w14:textId="77777777" w:rsidR="001C41C9" w:rsidRDefault="00AA7687" w:rsidP="00C45C57">
            <w:pPr>
              <w:ind w:left="576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1C9">
              <w:rPr>
                <w:rFonts w:ascii="Arial" w:hAnsi="Arial" w:cs="Arial"/>
                <w:sz w:val="20"/>
                <w:szCs w:val="20"/>
              </w:rPr>
              <w:t>T</w:t>
            </w:r>
            <w:r w:rsidR="001C41C9" w:rsidRPr="001C41C9">
              <w:rPr>
                <w:rFonts w:ascii="Arial" w:hAnsi="Arial" w:cs="Arial"/>
                <w:sz w:val="20"/>
                <w:szCs w:val="20"/>
              </w:rPr>
              <w:t xml:space="preserve">he device </w:t>
            </w:r>
            <w:r w:rsidR="00F52A95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="001C41C9" w:rsidRPr="001C41C9">
              <w:rPr>
                <w:rFonts w:ascii="Arial" w:hAnsi="Arial" w:cs="Arial"/>
                <w:sz w:val="20"/>
                <w:szCs w:val="20"/>
              </w:rPr>
              <w:t>is exempt from IDE regulations</w:t>
            </w:r>
            <w:r w:rsidR="001C41C9">
              <w:rPr>
                <w:rFonts w:ascii="Arial" w:hAnsi="Arial" w:cs="Arial"/>
                <w:sz w:val="20"/>
                <w:szCs w:val="20"/>
              </w:rPr>
              <w:t>.</w:t>
            </w:r>
            <w:r w:rsidR="001C41C9" w:rsidRPr="001C41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736207" w14:textId="77777777" w:rsidR="00AA7687" w:rsidRPr="00950AE0" w:rsidRDefault="00AA7687" w:rsidP="00C45C57">
            <w:pPr>
              <w:ind w:firstLine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 completing Section III here</w:t>
            </w:r>
            <w:r w:rsidR="001C41C9">
              <w:rPr>
                <w:rFonts w:ascii="Arial" w:hAnsi="Arial" w:cs="Arial"/>
                <w:sz w:val="20"/>
                <w:szCs w:val="20"/>
              </w:rPr>
              <w:t xml:space="preserve"> and p</w:t>
            </w:r>
            <w:r>
              <w:rPr>
                <w:rFonts w:ascii="Arial" w:hAnsi="Arial" w:cs="Arial"/>
                <w:sz w:val="20"/>
                <w:szCs w:val="20"/>
              </w:rPr>
              <w:t>roceed to Section IV.</w:t>
            </w:r>
          </w:p>
        </w:tc>
      </w:tr>
      <w:tr w:rsidR="00016544" w14:paraId="3F73620A" w14:textId="77777777" w:rsidTr="00E076BA">
        <w:trPr>
          <w:trHeight w:val="1008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209" w14:textId="115C341A" w:rsidR="00016544" w:rsidRPr="00C45C57" w:rsidRDefault="00C45C57" w:rsidP="00C45C57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16544" w:rsidRPr="00C45C57">
              <w:rPr>
                <w:rFonts w:ascii="Arial" w:hAnsi="Arial" w:cs="Arial"/>
                <w:b/>
                <w:sz w:val="20"/>
                <w:szCs w:val="20"/>
              </w:rPr>
              <w:t xml:space="preserve">Is the </w:t>
            </w:r>
            <w:r w:rsidR="0041475F" w:rsidRPr="00C45C57">
              <w:rPr>
                <w:rFonts w:ascii="Arial" w:hAnsi="Arial" w:cs="Arial"/>
                <w:b/>
                <w:sz w:val="20"/>
                <w:szCs w:val="20"/>
              </w:rPr>
              <w:t xml:space="preserve">device to be used in the research undergoing consumer preference testing, </w:t>
            </w:r>
            <w:r w:rsidR="0041475F" w:rsidRPr="00C45C57">
              <w:rPr>
                <w:rFonts w:ascii="Arial" w:hAnsi="Arial" w:cs="Arial"/>
                <w:b/>
                <w:sz w:val="20"/>
                <w:szCs w:val="20"/>
                <w:lang w:val="en"/>
              </w:rPr>
              <w:t>testing of a modification, or testing of a combination of marketed devices</w:t>
            </w:r>
            <w:r w:rsidR="00766954" w:rsidRPr="00C45C57">
              <w:rPr>
                <w:rFonts w:ascii="Helvetica" w:hAnsi="Helvetica" w:cs="Helvetica"/>
                <w:color w:val="333333"/>
                <w:lang w:val="en"/>
              </w:rPr>
              <w:t xml:space="preserve"> </w:t>
            </w:r>
            <w:r w:rsidR="00766954" w:rsidRPr="00C45C57">
              <w:rPr>
                <w:rFonts w:ascii="Arial" w:hAnsi="Arial" w:cs="Arial"/>
                <w:b/>
                <w:sz w:val="20"/>
                <w:szCs w:val="20"/>
                <w:lang w:val="en"/>
              </w:rPr>
              <w:t>(that is, the devices have an approved PMA, cleared Premarket Notification 510(k), or are exempt from 510(k))</w:t>
            </w:r>
            <w:r w:rsidR="00292BB5" w:rsidRPr="00C45C57">
              <w:rPr>
                <w:rFonts w:ascii="Arial" w:hAnsi="Arial" w:cs="Arial"/>
                <w:b/>
                <w:sz w:val="20"/>
                <w:szCs w:val="20"/>
              </w:rPr>
              <w:t>, and the testing is not for the purpose of determining safety or effectiveness an</w:t>
            </w:r>
            <w:r w:rsidR="001F78C3" w:rsidRPr="00C45C57">
              <w:rPr>
                <w:rFonts w:ascii="Arial" w:hAnsi="Arial" w:cs="Arial"/>
                <w:b/>
                <w:sz w:val="20"/>
                <w:szCs w:val="20"/>
              </w:rPr>
              <w:t>d does not put subjects at risk</w:t>
            </w:r>
            <w:r w:rsidR="00016544" w:rsidRPr="00C45C5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C354E" w14:paraId="3F73620C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0B" w14:textId="77777777" w:rsidR="00FC354E" w:rsidRPr="00950AE0" w:rsidRDefault="00FC354E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47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1C9" w14:paraId="3F73620F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0D" w14:textId="77777777" w:rsidR="001C41C9" w:rsidRDefault="001C41C9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C41C9">
              <w:rPr>
                <w:rFonts w:ascii="Arial" w:hAnsi="Arial" w:cs="Arial"/>
                <w:sz w:val="20"/>
                <w:szCs w:val="20"/>
              </w:rPr>
              <w:t xml:space="preserve">he device </w:t>
            </w:r>
            <w:r w:rsidR="00F52A95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Pr="001C41C9">
              <w:rPr>
                <w:rFonts w:ascii="Arial" w:hAnsi="Arial" w:cs="Arial"/>
                <w:sz w:val="20"/>
                <w:szCs w:val="20"/>
              </w:rPr>
              <w:t>is exempt from IDE regulations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C41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73620E" w14:textId="77777777" w:rsidR="001C41C9" w:rsidRPr="00950AE0" w:rsidRDefault="001C41C9" w:rsidP="00C45C57">
            <w:pPr>
              <w:ind w:firstLine="1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 completing Section III here and proceed to Section IV.</w:t>
            </w:r>
          </w:p>
        </w:tc>
      </w:tr>
      <w:tr w:rsidR="005E026C" w14:paraId="3F736211" w14:textId="77777777" w:rsidTr="00E076BA">
        <w:trPr>
          <w:trHeight w:val="54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210" w14:textId="788EA508" w:rsidR="005E026C" w:rsidRPr="00C45C57" w:rsidRDefault="00C45C57" w:rsidP="00C45C57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E026C" w:rsidRPr="00C45C57">
              <w:rPr>
                <w:rFonts w:ascii="Arial" w:hAnsi="Arial" w:cs="Arial"/>
                <w:b/>
                <w:sz w:val="20"/>
                <w:szCs w:val="20"/>
              </w:rPr>
              <w:t>Is the device to be used in the research intended as an implant and presents a potential for serious risk to the health, safety, or welfare of a subject?</w:t>
            </w:r>
          </w:p>
        </w:tc>
      </w:tr>
      <w:tr w:rsidR="005E026C" w14:paraId="3F736213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12" w14:textId="1F19BD77" w:rsidR="005E026C" w:rsidRPr="00950AE0" w:rsidRDefault="005E026C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5E026C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 protocol specific rationale: 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26C" w14:paraId="3F736216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dashed" w:sz="2" w:space="0" w:color="auto"/>
            </w:tcBorders>
            <w:vAlign w:val="center"/>
          </w:tcPr>
          <w:p w14:paraId="3F736214" w14:textId="77777777" w:rsidR="00E96AB3" w:rsidRDefault="005E026C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AB3">
              <w:rPr>
                <w:rFonts w:ascii="Arial" w:hAnsi="Arial" w:cs="Arial"/>
                <w:sz w:val="20"/>
                <w:szCs w:val="20"/>
              </w:rPr>
              <w:t xml:space="preserve">This is a significant risk device </w:t>
            </w:r>
            <w:r w:rsidR="00F52A95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>
              <w:rPr>
                <w:rFonts w:ascii="Arial" w:hAnsi="Arial" w:cs="Arial"/>
                <w:sz w:val="20"/>
                <w:szCs w:val="20"/>
              </w:rPr>
              <w:t>requir</w:t>
            </w:r>
            <w:r w:rsidR="00E96AB3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IDE approval from the FDA. </w:t>
            </w:r>
          </w:p>
          <w:p w14:paraId="3F736215" w14:textId="77777777" w:rsidR="005E026C" w:rsidRPr="00950AE0" w:rsidRDefault="00E96AB3" w:rsidP="00C45C57">
            <w:pPr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E96AB3">
              <w:rPr>
                <w:rFonts w:ascii="Arial" w:hAnsi="Arial" w:cs="Arial"/>
                <w:sz w:val="20"/>
                <w:szCs w:val="20"/>
              </w:rPr>
              <w:t xml:space="preserve">STOP completing Section III here </w:t>
            </w:r>
            <w:r>
              <w:rPr>
                <w:rFonts w:ascii="Arial" w:hAnsi="Arial" w:cs="Arial"/>
                <w:sz w:val="20"/>
                <w:szCs w:val="20"/>
              </w:rPr>
              <w:t>and p</w:t>
            </w:r>
            <w:r w:rsidR="005E026C">
              <w:rPr>
                <w:rFonts w:ascii="Arial" w:hAnsi="Arial" w:cs="Arial"/>
                <w:sz w:val="20"/>
                <w:szCs w:val="20"/>
              </w:rPr>
              <w:t>roceed to Section IV.</w:t>
            </w:r>
          </w:p>
        </w:tc>
      </w:tr>
      <w:tr w:rsidR="005E026C" w14:paraId="3F736218" w14:textId="77777777" w:rsidTr="00E076BA">
        <w:trPr>
          <w:trHeight w:val="54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217" w14:textId="08843ECA" w:rsidR="005E026C" w:rsidRPr="00C45C57" w:rsidRDefault="00C45C57" w:rsidP="00C45C57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CF7A3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lastRenderedPageBreak/>
              <w:t>5.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E026C" w:rsidRPr="00C45C57">
              <w:rPr>
                <w:rFonts w:ascii="Arial" w:hAnsi="Arial" w:cs="Arial"/>
                <w:b/>
                <w:sz w:val="20"/>
                <w:szCs w:val="20"/>
              </w:rPr>
              <w:t>Is the device to be used in the research purported or represented to be for use supporting or sustaining human life and presents a potential for serious risk to the health, safety, or welfare of a subject?</w:t>
            </w:r>
          </w:p>
        </w:tc>
      </w:tr>
      <w:tr w:rsidR="005E026C" w14:paraId="3F73621A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19" w14:textId="72A537FE" w:rsidR="005E026C" w:rsidRPr="00950AE0" w:rsidRDefault="005E026C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5E0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26C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5E026C">
              <w:rPr>
                <w:rFonts w:ascii="Arial" w:hAnsi="Arial" w:cs="Arial"/>
                <w:sz w:val="20"/>
                <w:szCs w:val="20"/>
              </w:rPr>
              <w:t xml:space="preserve"> Provide protocol specific rationale: 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1C41C9" w14:paraId="3F73621D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1B" w14:textId="77777777" w:rsidR="001C41C9" w:rsidRDefault="001C41C9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is a significant risk device </w:t>
            </w:r>
            <w:r w:rsidR="00F52A95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requiring IDE approval from the FDA. </w:t>
            </w:r>
          </w:p>
          <w:p w14:paraId="3F73621C" w14:textId="77777777" w:rsidR="001C41C9" w:rsidRPr="00950AE0" w:rsidRDefault="001C41C9" w:rsidP="00C45C57">
            <w:pPr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E96AB3">
              <w:rPr>
                <w:rFonts w:ascii="Arial" w:hAnsi="Arial" w:cs="Arial"/>
                <w:sz w:val="20"/>
                <w:szCs w:val="20"/>
              </w:rPr>
              <w:t xml:space="preserve">STOP completing Section III here </w:t>
            </w:r>
            <w:r>
              <w:rPr>
                <w:rFonts w:ascii="Arial" w:hAnsi="Arial" w:cs="Arial"/>
                <w:sz w:val="20"/>
                <w:szCs w:val="20"/>
              </w:rPr>
              <w:t>and proceed to Section IV.</w:t>
            </w:r>
          </w:p>
        </w:tc>
      </w:tr>
      <w:tr w:rsidR="005E026C" w14:paraId="3F73621F" w14:textId="77777777" w:rsidTr="00E076BA">
        <w:trPr>
          <w:trHeight w:val="792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21E" w14:textId="67A2792C" w:rsidR="005E026C" w:rsidRPr="00C45C57" w:rsidRDefault="00C45C57" w:rsidP="00C45C57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CF7A3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6.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E026C" w:rsidRPr="00C45C57">
              <w:rPr>
                <w:rFonts w:ascii="Arial" w:hAnsi="Arial" w:cs="Arial"/>
                <w:b/>
                <w:sz w:val="20"/>
                <w:szCs w:val="20"/>
              </w:rPr>
              <w:t xml:space="preserve">Is the device to be used in the research for a use of substantial importance in diagnosing, curing, mitigating, or treating disease, or otherwise preventing impairment of human health and presents a potential for serious risk to the health, </w:t>
            </w:r>
            <w:r w:rsidR="00CE0F30" w:rsidRPr="00C45C57">
              <w:rPr>
                <w:rFonts w:ascii="Arial" w:hAnsi="Arial" w:cs="Arial"/>
                <w:b/>
                <w:sz w:val="20"/>
                <w:szCs w:val="20"/>
              </w:rPr>
              <w:t>safety, or welfare of a subject?</w:t>
            </w:r>
          </w:p>
        </w:tc>
      </w:tr>
      <w:tr w:rsidR="005E026C" w14:paraId="3F736221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20" w14:textId="470842A4" w:rsidR="005E026C" w:rsidRPr="00950AE0" w:rsidRDefault="005E026C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5E0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26C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5E026C">
              <w:rPr>
                <w:rFonts w:ascii="Arial" w:hAnsi="Arial" w:cs="Arial"/>
                <w:sz w:val="20"/>
                <w:szCs w:val="20"/>
              </w:rPr>
              <w:t xml:space="preserve"> Provide protocol specific rationale: 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1C41C9" w14:paraId="3F736224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22" w14:textId="77777777" w:rsidR="001C41C9" w:rsidRDefault="001C41C9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is a significant risk device </w:t>
            </w:r>
            <w:r w:rsidR="00F52A95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requiring IDE approval from the FDA. </w:t>
            </w:r>
          </w:p>
          <w:p w14:paraId="3F736223" w14:textId="77777777" w:rsidR="001C41C9" w:rsidRPr="00950AE0" w:rsidRDefault="001C41C9" w:rsidP="00C45C57">
            <w:pPr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E96AB3">
              <w:rPr>
                <w:rFonts w:ascii="Arial" w:hAnsi="Arial" w:cs="Arial"/>
                <w:sz w:val="20"/>
                <w:szCs w:val="20"/>
              </w:rPr>
              <w:t xml:space="preserve">STOP completing Section III here </w:t>
            </w:r>
            <w:r>
              <w:rPr>
                <w:rFonts w:ascii="Arial" w:hAnsi="Arial" w:cs="Arial"/>
                <w:sz w:val="20"/>
                <w:szCs w:val="20"/>
              </w:rPr>
              <w:t>and proceed to Section IV.</w:t>
            </w:r>
          </w:p>
        </w:tc>
      </w:tr>
      <w:tr w:rsidR="005E026C" w14:paraId="3F736226" w14:textId="77777777" w:rsidTr="00E076BA">
        <w:trPr>
          <w:trHeight w:val="54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225" w14:textId="62E28D1B" w:rsidR="005E026C" w:rsidRPr="00C45C57" w:rsidRDefault="00C45C57" w:rsidP="00C45C57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CF7A3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E026C" w:rsidRPr="00C45C57">
              <w:rPr>
                <w:rFonts w:ascii="Arial" w:hAnsi="Arial" w:cs="Arial"/>
                <w:b/>
                <w:sz w:val="20"/>
                <w:szCs w:val="20"/>
              </w:rPr>
              <w:t>Does the device to be used in the research otherwise present a potential for serious risk to the health, safety, or welfare of a subject?</w:t>
            </w:r>
          </w:p>
        </w:tc>
      </w:tr>
      <w:tr w:rsidR="005E026C" w14:paraId="3F736228" w14:textId="77777777" w:rsidTr="00E076BA">
        <w:trPr>
          <w:trHeight w:val="288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27" w14:textId="1B48E6DF" w:rsidR="005E026C" w:rsidRPr="00950AE0" w:rsidRDefault="005E026C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5E0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026C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Pr="005E026C">
              <w:rPr>
                <w:rFonts w:ascii="Arial" w:hAnsi="Arial" w:cs="Arial"/>
                <w:sz w:val="20"/>
                <w:szCs w:val="20"/>
              </w:rPr>
              <w:t xml:space="preserve"> Provide protocol specific rationale: 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016544" w:rsidRPr="00C45C5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1C41C9" w14:paraId="3F73622B" w14:textId="77777777" w:rsidTr="00E076BA">
        <w:trPr>
          <w:trHeight w:val="504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29" w14:textId="77777777" w:rsidR="001C41C9" w:rsidRDefault="001C41C9" w:rsidP="00C45C57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D80A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7A4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is a significant risk device </w:t>
            </w:r>
            <w:r w:rsidR="00F52A95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requiring IDE approval from the FDA. </w:t>
            </w:r>
          </w:p>
          <w:p w14:paraId="3F73622A" w14:textId="77777777" w:rsidR="001C41C9" w:rsidRPr="00950AE0" w:rsidRDefault="001C41C9" w:rsidP="00C45C57">
            <w:pPr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E96AB3">
              <w:rPr>
                <w:rFonts w:ascii="Arial" w:hAnsi="Arial" w:cs="Arial"/>
                <w:sz w:val="20"/>
                <w:szCs w:val="20"/>
              </w:rPr>
              <w:t xml:space="preserve">STOP completing Section III here </w:t>
            </w:r>
            <w:r>
              <w:rPr>
                <w:rFonts w:ascii="Arial" w:hAnsi="Arial" w:cs="Arial"/>
                <w:sz w:val="20"/>
                <w:szCs w:val="20"/>
              </w:rPr>
              <w:t>and proceed to Section IV.</w:t>
            </w:r>
          </w:p>
        </w:tc>
      </w:tr>
      <w:tr w:rsidR="00625469" w14:paraId="3F73622D" w14:textId="77777777" w:rsidTr="00E076BA">
        <w:trPr>
          <w:trHeight w:val="432"/>
          <w:jc w:val="center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3622C" w14:textId="77777777" w:rsidR="00625469" w:rsidRPr="00B95F4F" w:rsidRDefault="00625469" w:rsidP="009432B3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A00E40"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</w:t>
            </w:r>
            <w:r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V: </w:t>
            </w:r>
            <w:r w:rsidR="00A00E40" w:rsidRPr="00B95F4F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Final Determination</w:t>
            </w:r>
          </w:p>
        </w:tc>
      </w:tr>
      <w:tr w:rsidR="00A00E40" w14:paraId="3F73622F" w14:textId="77777777" w:rsidTr="00E076BA">
        <w:trPr>
          <w:trHeight w:val="547"/>
          <w:jc w:val="center"/>
        </w:trPr>
        <w:tc>
          <w:tcPr>
            <w:tcW w:w="10800" w:type="dxa"/>
            <w:gridSpan w:val="5"/>
            <w:tcBorders>
              <w:top w:val="dashed" w:sz="2" w:space="0" w:color="auto"/>
              <w:bottom w:val="nil"/>
            </w:tcBorders>
            <w:vAlign w:val="center"/>
          </w:tcPr>
          <w:p w14:paraId="3F73622E" w14:textId="5A7F51BC" w:rsidR="00A00E40" w:rsidRPr="00C45C57" w:rsidRDefault="00C45C57" w:rsidP="00E625C8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CF7A30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00E40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If the responses to questions III.</w:t>
            </w:r>
            <w:r w:rsidR="00E96AB3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00E40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through III.</w:t>
            </w:r>
            <w:r w:rsidR="00E96AB3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00E40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all “No”, you are conducting </w:t>
            </w:r>
            <w:r w:rsidR="006C5159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E96AB3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>nonsignificant risk device study</w:t>
            </w:r>
            <w:r w:rsidR="00F52A95" w:rsidRPr="00C45C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</w:t>
            </w:r>
            <w:r w:rsidR="006C5159" w:rsidRPr="00C45C57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must comply with the abbreviated IDE requirements under </w:t>
            </w:r>
            <w:hyperlink r:id="rId13" w:history="1">
              <w:r w:rsidR="006C5159" w:rsidRPr="00C45C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"/>
                </w:rPr>
                <w:t xml:space="preserve">21 CFR </w:t>
              </w:r>
              <w:r w:rsidR="006C5159" w:rsidRPr="00C45C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"/>
                </w:rPr>
                <w:t>8</w:t>
              </w:r>
              <w:r w:rsidR="006C5159" w:rsidRPr="00C45C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"/>
                </w:rPr>
                <w:t>12.2 (b)</w:t>
              </w:r>
            </w:hyperlink>
            <w:r w:rsidR="006C5159" w:rsidRPr="00C45C57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. </w:t>
            </w:r>
          </w:p>
        </w:tc>
      </w:tr>
      <w:tr w:rsidR="006C5159" w14:paraId="3F736231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30" w14:textId="56D63AF1" w:rsidR="006C5159" w:rsidRPr="00E625C8" w:rsidRDefault="00E625C8" w:rsidP="00E625C8">
            <w:pPr>
              <w:ind w:lef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A30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>The final determination for this device research is</w:t>
            </w:r>
            <w:r w:rsidR="006E20D4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(choose one)</w:t>
            </w:r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625469" w14:paraId="3F736233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32" w14:textId="77777777" w:rsidR="00625469" w:rsidRPr="00950AE0" w:rsidRDefault="00625469" w:rsidP="00E625C8">
            <w:pPr>
              <w:ind w:left="576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159">
              <w:rPr>
                <w:rFonts w:ascii="Arial" w:hAnsi="Arial" w:cs="Arial"/>
                <w:sz w:val="20"/>
                <w:szCs w:val="20"/>
              </w:rPr>
              <w:t xml:space="preserve">A significant risk device study that </w:t>
            </w:r>
            <w:r w:rsidR="00084633">
              <w:rPr>
                <w:rFonts w:ascii="Arial" w:hAnsi="Arial" w:cs="Arial"/>
                <w:sz w:val="20"/>
                <w:szCs w:val="20"/>
              </w:rPr>
              <w:t>require</w:t>
            </w:r>
            <w:r w:rsidR="007D07C6">
              <w:rPr>
                <w:rFonts w:ascii="Arial" w:hAnsi="Arial" w:cs="Arial"/>
                <w:sz w:val="20"/>
                <w:szCs w:val="20"/>
              </w:rPr>
              <w:t>s</w:t>
            </w:r>
            <w:r w:rsidR="00084633">
              <w:rPr>
                <w:rFonts w:ascii="Arial" w:hAnsi="Arial" w:cs="Arial"/>
                <w:sz w:val="20"/>
                <w:szCs w:val="20"/>
              </w:rPr>
              <w:t xml:space="preserve"> an ID</w:t>
            </w:r>
            <w:r w:rsidR="008746B1">
              <w:rPr>
                <w:rFonts w:ascii="Arial" w:hAnsi="Arial" w:cs="Arial"/>
                <w:sz w:val="20"/>
                <w:szCs w:val="20"/>
              </w:rPr>
              <w:t xml:space="preserve">E approval </w:t>
            </w:r>
            <w:r w:rsidR="008746B1"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&gt;</w:t>
            </w:r>
            <w:r w:rsidR="00874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159" w:rsidRPr="006C5159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6E20D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</w:t>
            </w:r>
            <w:r w:rsidR="006C5159" w:rsidRPr="006C5159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6C5159" w:rsidRPr="006C51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159" w14:paraId="3F736235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34" w14:textId="5CD4A72F" w:rsidR="006C5159" w:rsidRPr="00E625C8" w:rsidRDefault="00E625C8" w:rsidP="00E625C8">
            <w:pPr>
              <w:ind w:left="864"/>
              <w:rPr>
                <w:rFonts w:ascii="Arial" w:hAnsi="Arial" w:cs="Arial"/>
                <w:b/>
                <w:sz w:val="20"/>
                <w:szCs w:val="20"/>
              </w:rPr>
            </w:pPr>
            <w:r w:rsidRPr="00CF7A30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>What is the status of the IDE application</w:t>
            </w:r>
            <w:r w:rsidR="00D416D8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FDA</w:t>
            </w:r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</w:p>
        </w:tc>
      </w:tr>
      <w:tr w:rsidR="006C5159" w14:paraId="3F736237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36" w14:textId="77777777" w:rsidR="006C5159" w:rsidRPr="00950AE0" w:rsidRDefault="006C5159" w:rsidP="00E625C8">
            <w:pPr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416D8">
              <w:rPr>
                <w:rFonts w:ascii="Arial" w:hAnsi="Arial" w:cs="Arial"/>
                <w:sz w:val="20"/>
                <w:szCs w:val="20"/>
              </w:rPr>
              <w:t>n IDE approval from the FDA is held by the sponsor or investigator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6D8">
              <w:rPr>
                <w:rFonts w:ascii="Arial" w:hAnsi="Arial" w:cs="Arial"/>
                <w:sz w:val="20"/>
                <w:szCs w:val="20"/>
              </w:rPr>
              <w:t>Attach copies of documentation</w:t>
            </w:r>
          </w:p>
        </w:tc>
      </w:tr>
      <w:tr w:rsidR="006C5159" w14:paraId="3F736239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38" w14:textId="77777777" w:rsidR="006C5159" w:rsidRPr="00950AE0" w:rsidRDefault="006C5159" w:rsidP="00E625C8">
            <w:pPr>
              <w:ind w:left="1152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 IDE application has not yet been </w:t>
            </w:r>
            <w:r w:rsidR="00D416D8">
              <w:rPr>
                <w:rFonts w:ascii="Arial" w:hAnsi="Arial" w:cs="Arial"/>
                <w:sz w:val="20"/>
                <w:szCs w:val="20"/>
              </w:rPr>
              <w:t>submitted to FDA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&gt;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6C5159">
              <w:rPr>
                <w:rFonts w:ascii="Arial" w:hAnsi="Arial" w:cs="Arial"/>
                <w:bCs/>
                <w:sz w:val="20"/>
                <w:szCs w:val="20"/>
              </w:rPr>
              <w:t xml:space="preserve">roceed with the </w:t>
            </w:r>
            <w:hyperlink r:id="rId14" w:history="1">
              <w:r w:rsidRPr="006C5159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FDA IDE a</w:t>
              </w:r>
              <w:r w:rsidRPr="006C5159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</w:t>
              </w:r>
              <w:r w:rsidRPr="006C5159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plication process</w:t>
              </w:r>
            </w:hyperlink>
          </w:p>
        </w:tc>
      </w:tr>
      <w:tr w:rsidR="006C5159" w14:paraId="3F73623B" w14:textId="77777777" w:rsidTr="00E076BA">
        <w:trPr>
          <w:trHeight w:val="317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3A" w14:textId="77777777" w:rsidR="006C5159" w:rsidRPr="00950AE0" w:rsidRDefault="006C5159" w:rsidP="00E625C8">
            <w:pPr>
              <w:ind w:left="576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nonsignificant risk device study that must comply with the abbreviated IDE requirements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&gt;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 w:rsidR="00E076B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159" w14:paraId="3F73623D" w14:textId="77777777" w:rsidTr="00E076BA">
        <w:trPr>
          <w:trHeight w:val="792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3C" w14:textId="04A16C56" w:rsidR="006C5159" w:rsidRPr="00E625C8" w:rsidRDefault="00E625C8" w:rsidP="00E625C8">
            <w:pPr>
              <w:ind w:left="864"/>
              <w:rPr>
                <w:rFonts w:ascii="Arial" w:hAnsi="Arial" w:cs="Arial"/>
                <w:b/>
                <w:sz w:val="20"/>
                <w:szCs w:val="20"/>
              </w:rPr>
            </w:pPr>
            <w:r w:rsidRPr="00CF7A30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ii.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 signature below confirms I have evaluated the above named study in light of the regulations in </w:t>
            </w:r>
            <w:hyperlink r:id="rId15" w:history="1">
              <w:r w:rsidR="006C5159" w:rsidRPr="00E625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21 CFR Part 81</w:t>
              </w:r>
              <w:r w:rsidR="006C5159" w:rsidRPr="00E625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2</w:t>
              </w:r>
            </w:hyperlink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hyperlink r:id="rId16" w:history="1">
              <w:r w:rsidR="006C5159" w:rsidRPr="00E625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related</w:t>
              </w:r>
              <w:r w:rsidR="006C5159" w:rsidRPr="00E625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="006C5159" w:rsidRPr="00E625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guidance</w:t>
              </w:r>
            </w:hyperlink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determined that the </w:t>
            </w:r>
            <w:r w:rsidR="00D416D8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research is a nonsignificant risk device study, and will comply with the abbreviated IDE requirements. </w:t>
            </w:r>
          </w:p>
        </w:tc>
      </w:tr>
      <w:tr w:rsidR="006C5159" w14:paraId="3F736243" w14:textId="77777777" w:rsidTr="00E076BA">
        <w:trPr>
          <w:trHeight w:val="648"/>
          <w:jc w:val="center"/>
        </w:trPr>
        <w:tc>
          <w:tcPr>
            <w:tcW w:w="1255" w:type="dxa"/>
            <w:tcBorders>
              <w:top w:val="nil"/>
              <w:bottom w:val="nil"/>
              <w:right w:val="nil"/>
            </w:tcBorders>
            <w:vAlign w:val="bottom"/>
          </w:tcPr>
          <w:p w14:paraId="3F73623E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3623F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6240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36241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3F736242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159" w14:paraId="3F736249" w14:textId="77777777" w:rsidTr="00E076BA">
        <w:trPr>
          <w:trHeight w:val="331"/>
          <w:jc w:val="center"/>
        </w:trPr>
        <w:tc>
          <w:tcPr>
            <w:tcW w:w="1255" w:type="dxa"/>
            <w:tcBorders>
              <w:top w:val="nil"/>
              <w:bottom w:val="nil"/>
              <w:right w:val="nil"/>
            </w:tcBorders>
            <w:vAlign w:val="center"/>
          </w:tcPr>
          <w:p w14:paraId="3F736244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736245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 Signature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6246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736247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3F736248" w14:textId="77777777" w:rsidR="006C5159" w:rsidRDefault="006C5159" w:rsidP="00B45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1" w:name="_GoBack"/>
      <w:tr w:rsidR="006C5159" w14:paraId="3F73624B" w14:textId="77777777" w:rsidTr="00E076BA">
        <w:trPr>
          <w:trHeight w:val="331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4A" w14:textId="77777777" w:rsidR="006C5159" w:rsidRPr="00950AE0" w:rsidRDefault="006C5159" w:rsidP="00E625C8">
            <w:pPr>
              <w:ind w:left="576"/>
              <w:rPr>
                <w:rFonts w:ascii="Arial" w:hAnsi="Arial" w:cs="Arial"/>
                <w:sz w:val="20"/>
                <w:szCs w:val="20"/>
              </w:rPr>
            </w:pPr>
            <w:r w:rsidRPr="00950A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04F7">
              <w:rPr>
                <w:rFonts w:ascii="Arial" w:hAnsi="Arial" w:cs="Arial"/>
                <w:sz w:val="20"/>
                <w:szCs w:val="20"/>
              </w:rPr>
            </w:r>
            <w:r w:rsidR="00A004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0A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950A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research is exempt from IDE regulations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&gt;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</w:t>
            </w:r>
            <w:r w:rsidR="00E076B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iii</w:t>
            </w:r>
            <w:r w:rsidRPr="00A40644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159" w14:paraId="3F73624D" w14:textId="77777777" w:rsidTr="00E076BA">
        <w:trPr>
          <w:trHeight w:val="792"/>
          <w:jc w:val="center"/>
        </w:trPr>
        <w:tc>
          <w:tcPr>
            <w:tcW w:w="10800" w:type="dxa"/>
            <w:gridSpan w:val="5"/>
            <w:tcBorders>
              <w:top w:val="nil"/>
              <w:bottom w:val="nil"/>
            </w:tcBorders>
            <w:vAlign w:val="center"/>
          </w:tcPr>
          <w:p w14:paraId="3F73624C" w14:textId="4845D569" w:rsidR="006C5159" w:rsidRPr="00E625C8" w:rsidRDefault="00E625C8" w:rsidP="00E625C8">
            <w:pPr>
              <w:ind w:left="864"/>
              <w:rPr>
                <w:rFonts w:ascii="Arial" w:hAnsi="Arial" w:cs="Arial"/>
                <w:b/>
                <w:sz w:val="20"/>
                <w:szCs w:val="20"/>
              </w:rPr>
            </w:pPr>
            <w:r w:rsidRPr="00B95F4F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iii.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 signature below confirms I have evaluated the above named study in light of the regulations in </w:t>
            </w:r>
            <w:hyperlink r:id="rId17" w:history="1">
              <w:r w:rsidR="006C5159" w:rsidRPr="00E625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21 CFR Part 812</w:t>
              </w:r>
            </w:hyperlink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hyperlink r:id="rId18" w:history="1">
              <w:r w:rsidR="006C5159" w:rsidRPr="00E625C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related guidance</w:t>
              </w:r>
            </w:hyperlink>
            <w:r w:rsidR="006C5159" w:rsidRPr="00E625C8">
              <w:rPr>
                <w:rFonts w:ascii="Arial" w:hAnsi="Arial" w:cs="Arial"/>
                <w:b/>
                <w:bCs/>
                <w:sz w:val="20"/>
                <w:szCs w:val="20"/>
              </w:rPr>
              <w:t>, and determined that the study qualifies for exemption from the IDE regulations in accordance with the cited requirements and guidance.</w:t>
            </w:r>
          </w:p>
        </w:tc>
      </w:tr>
      <w:tr w:rsidR="006C5159" w14:paraId="3F736253" w14:textId="77777777" w:rsidTr="00E076BA">
        <w:trPr>
          <w:trHeight w:val="648"/>
          <w:jc w:val="center"/>
        </w:trPr>
        <w:tc>
          <w:tcPr>
            <w:tcW w:w="1255" w:type="dxa"/>
            <w:tcBorders>
              <w:top w:val="nil"/>
              <w:bottom w:val="nil"/>
              <w:right w:val="nil"/>
            </w:tcBorders>
            <w:vAlign w:val="bottom"/>
          </w:tcPr>
          <w:p w14:paraId="3F73624E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3624F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6250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36251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3F736252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159" w14:paraId="3F736259" w14:textId="77777777" w:rsidTr="00E076BA">
        <w:trPr>
          <w:trHeight w:val="331"/>
          <w:jc w:val="center"/>
        </w:trPr>
        <w:tc>
          <w:tcPr>
            <w:tcW w:w="12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736254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36255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 Signature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36256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36257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736258" w14:textId="77777777" w:rsidR="006C5159" w:rsidRDefault="006C5159" w:rsidP="006C51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625A" w14:textId="77777777" w:rsidR="003712C1" w:rsidRPr="002102D1" w:rsidRDefault="003712C1" w:rsidP="00183FAC">
      <w:pPr>
        <w:spacing w:after="0" w:line="240" w:lineRule="auto"/>
        <w:rPr>
          <w:rFonts w:ascii="Arial" w:hAnsi="Arial" w:cs="Arial"/>
        </w:rPr>
      </w:pPr>
    </w:p>
    <w:sectPr w:rsidR="003712C1" w:rsidRPr="002102D1" w:rsidSect="002102D1">
      <w:headerReference w:type="default" r:id="rId19"/>
      <w:footerReference w:type="default" r:id="rId2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3625D" w14:textId="77777777" w:rsidR="00173E58" w:rsidRDefault="00173E58" w:rsidP="005F723A">
      <w:pPr>
        <w:spacing w:after="0" w:line="240" w:lineRule="auto"/>
      </w:pPr>
      <w:r>
        <w:separator/>
      </w:r>
    </w:p>
  </w:endnote>
  <w:endnote w:type="continuationSeparator" w:id="0">
    <w:p w14:paraId="3F73625E" w14:textId="77777777" w:rsidR="00173E58" w:rsidRDefault="00173E58" w:rsidP="005F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736265" w14:textId="0FDA9B12" w:rsidR="00016544" w:rsidRPr="00813AF0" w:rsidRDefault="00016544" w:rsidP="00CB7B9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813AF0">
              <w:rPr>
                <w:rFonts w:ascii="Arial" w:hAnsi="Arial" w:cs="Arial"/>
                <w:sz w:val="18"/>
                <w:szCs w:val="18"/>
              </w:rPr>
              <w:t xml:space="preserve">Version: </w:t>
            </w:r>
            <w:r w:rsidR="00A004F7">
              <w:rPr>
                <w:rFonts w:ascii="Arial" w:hAnsi="Arial" w:cs="Arial"/>
                <w:sz w:val="18"/>
                <w:szCs w:val="18"/>
              </w:rPr>
              <w:t>8/23/17</w:t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04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13AF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04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625B" w14:textId="77777777" w:rsidR="00173E58" w:rsidRDefault="00173E58" w:rsidP="005F723A">
      <w:pPr>
        <w:spacing w:after="0" w:line="240" w:lineRule="auto"/>
      </w:pPr>
      <w:r>
        <w:separator/>
      </w:r>
    </w:p>
  </w:footnote>
  <w:footnote w:type="continuationSeparator" w:id="0">
    <w:p w14:paraId="3F73625C" w14:textId="77777777" w:rsidR="00173E58" w:rsidRDefault="00173E58" w:rsidP="005F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8005"/>
    </w:tblGrid>
    <w:tr w:rsidR="00016544" w14:paraId="3F736262" w14:textId="77777777" w:rsidTr="005829E8">
      <w:trPr>
        <w:trHeight w:val="1008"/>
      </w:trPr>
      <w:tc>
        <w:tcPr>
          <w:tcW w:w="2785" w:type="dxa"/>
        </w:tcPr>
        <w:p w14:paraId="3F736260" w14:textId="25888D56" w:rsidR="00016544" w:rsidRDefault="005C0566">
          <w:pPr>
            <w:pStyle w:val="Header"/>
          </w:pPr>
          <w:r>
            <w:rPr>
              <w:noProof/>
            </w:rPr>
            <w:drawing>
              <wp:inline distT="0" distB="0" distL="0" distR="0" wp14:anchorId="02A2EE38" wp14:editId="3F9982E1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5" w:type="dxa"/>
          <w:vAlign w:val="center"/>
        </w:tcPr>
        <w:p w14:paraId="3F736261" w14:textId="77777777" w:rsidR="00016544" w:rsidRPr="00F00B32" w:rsidRDefault="00EF6DDB" w:rsidP="00B03D06">
          <w:pPr>
            <w:pStyle w:val="Header"/>
            <w:rPr>
              <w:sz w:val="56"/>
              <w:szCs w:val="56"/>
            </w:rPr>
          </w:pPr>
          <w:r>
            <w:rPr>
              <w:sz w:val="56"/>
              <w:szCs w:val="56"/>
            </w:rPr>
            <w:t>I</w:t>
          </w:r>
          <w:r w:rsidR="00016544">
            <w:rPr>
              <w:sz w:val="56"/>
              <w:szCs w:val="56"/>
            </w:rPr>
            <w:t>D</w:t>
          </w:r>
          <w:r>
            <w:rPr>
              <w:sz w:val="56"/>
              <w:szCs w:val="56"/>
            </w:rPr>
            <w:t>E</w:t>
          </w:r>
          <w:r w:rsidR="00016544">
            <w:rPr>
              <w:sz w:val="56"/>
              <w:szCs w:val="56"/>
            </w:rPr>
            <w:t xml:space="preserve"> </w:t>
          </w:r>
          <w:r w:rsidR="00016544" w:rsidRPr="00F00B32">
            <w:rPr>
              <w:sz w:val="56"/>
              <w:szCs w:val="56"/>
            </w:rPr>
            <w:t>Applica</w:t>
          </w:r>
          <w:r w:rsidR="00016544">
            <w:rPr>
              <w:sz w:val="56"/>
              <w:szCs w:val="56"/>
            </w:rPr>
            <w:t xml:space="preserve">bility </w:t>
          </w:r>
          <w:r w:rsidR="00B03D06">
            <w:rPr>
              <w:sz w:val="56"/>
              <w:szCs w:val="56"/>
            </w:rPr>
            <w:t>Form</w:t>
          </w:r>
        </w:p>
      </w:tc>
    </w:tr>
  </w:tbl>
  <w:p w14:paraId="3F736263" w14:textId="23D5CEC7" w:rsidR="00016544" w:rsidRPr="00456833" w:rsidRDefault="0001654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7422E"/>
    <w:multiLevelType w:val="hybridMultilevel"/>
    <w:tmpl w:val="5624252A"/>
    <w:lvl w:ilvl="0" w:tplc="326EED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2E943E84">
      <w:start w:val="1"/>
      <w:numFmt w:val="lowerRoman"/>
      <w:lvlText w:val="%3."/>
      <w:lvlJc w:val="right"/>
      <w:pPr>
        <w:ind w:left="2160" w:hanging="180"/>
      </w:pPr>
      <w:rPr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5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27565"/>
    <w:multiLevelType w:val="hybridMultilevel"/>
    <w:tmpl w:val="87F06BDC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326EED6A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706E4"/>
    <w:multiLevelType w:val="hybridMultilevel"/>
    <w:tmpl w:val="14D2F9BE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C6BDB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5185A"/>
    <w:multiLevelType w:val="hybridMultilevel"/>
    <w:tmpl w:val="61A22068"/>
    <w:lvl w:ilvl="0" w:tplc="46FEF320">
      <w:start w:val="1"/>
      <w:numFmt w:val="lowerLetter"/>
      <w:lvlText w:val="%1."/>
      <w:lvlJc w:val="left"/>
      <w:pPr>
        <w:ind w:left="1047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01">
      <w:start w:val="1"/>
      <w:numFmt w:val="bullet"/>
      <w:lvlText w:val=""/>
      <w:lvlJc w:val="left"/>
      <w:pPr>
        <w:ind w:left="2487" w:hanging="180"/>
      </w:pPr>
      <w:rPr>
        <w:rFonts w:ascii="Symbol" w:hAnsi="Symbol" w:hint="default"/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2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76558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4440D"/>
    <w:multiLevelType w:val="hybridMultilevel"/>
    <w:tmpl w:val="D2EC39D2"/>
    <w:lvl w:ilvl="0" w:tplc="326EED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B67B8"/>
    <w:multiLevelType w:val="hybridMultilevel"/>
    <w:tmpl w:val="61A22068"/>
    <w:lvl w:ilvl="0" w:tplc="46FEF320">
      <w:start w:val="1"/>
      <w:numFmt w:val="lowerLetter"/>
      <w:lvlText w:val="%1."/>
      <w:lvlJc w:val="left"/>
      <w:pPr>
        <w:ind w:left="1047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01">
      <w:start w:val="1"/>
      <w:numFmt w:val="bullet"/>
      <w:lvlText w:val=""/>
      <w:lvlJc w:val="left"/>
      <w:pPr>
        <w:ind w:left="2487" w:hanging="180"/>
      </w:pPr>
      <w:rPr>
        <w:rFonts w:ascii="Symbol" w:hAnsi="Symbol" w:hint="default"/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8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9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C1727"/>
    <w:multiLevelType w:val="hybridMultilevel"/>
    <w:tmpl w:val="284A1220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D2E53"/>
    <w:multiLevelType w:val="hybridMultilevel"/>
    <w:tmpl w:val="F57C588A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273A1ED4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44537"/>
    <w:multiLevelType w:val="hybridMultilevel"/>
    <w:tmpl w:val="939E9764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7"/>
  </w:num>
  <w:num w:numId="5">
    <w:abstractNumId w:val="30"/>
  </w:num>
  <w:num w:numId="6">
    <w:abstractNumId w:val="31"/>
  </w:num>
  <w:num w:numId="7">
    <w:abstractNumId w:val="26"/>
  </w:num>
  <w:num w:numId="8">
    <w:abstractNumId w:val="19"/>
  </w:num>
  <w:num w:numId="9">
    <w:abstractNumId w:val="29"/>
  </w:num>
  <w:num w:numId="10">
    <w:abstractNumId w:val="20"/>
  </w:num>
  <w:num w:numId="11">
    <w:abstractNumId w:val="28"/>
  </w:num>
  <w:num w:numId="12">
    <w:abstractNumId w:val="12"/>
  </w:num>
  <w:num w:numId="13">
    <w:abstractNumId w:val="15"/>
  </w:num>
  <w:num w:numId="14">
    <w:abstractNumId w:val="9"/>
  </w:num>
  <w:num w:numId="15">
    <w:abstractNumId w:val="13"/>
  </w:num>
  <w:num w:numId="16">
    <w:abstractNumId w:val="25"/>
  </w:num>
  <w:num w:numId="17">
    <w:abstractNumId w:val="22"/>
  </w:num>
  <w:num w:numId="18">
    <w:abstractNumId w:val="8"/>
  </w:num>
  <w:num w:numId="19">
    <w:abstractNumId w:val="24"/>
  </w:num>
  <w:num w:numId="20">
    <w:abstractNumId w:val="2"/>
  </w:num>
  <w:num w:numId="21">
    <w:abstractNumId w:val="32"/>
  </w:num>
  <w:num w:numId="22">
    <w:abstractNumId w:val="27"/>
  </w:num>
  <w:num w:numId="23">
    <w:abstractNumId w:val="4"/>
  </w:num>
  <w:num w:numId="24">
    <w:abstractNumId w:val="18"/>
  </w:num>
  <w:num w:numId="25">
    <w:abstractNumId w:val="1"/>
  </w:num>
  <w:num w:numId="26">
    <w:abstractNumId w:val="5"/>
  </w:num>
  <w:num w:numId="27">
    <w:abstractNumId w:val="0"/>
  </w:num>
  <w:num w:numId="28">
    <w:abstractNumId w:val="10"/>
  </w:num>
  <w:num w:numId="29">
    <w:abstractNumId w:val="23"/>
  </w:num>
  <w:num w:numId="30">
    <w:abstractNumId w:val="16"/>
  </w:num>
  <w:num w:numId="31">
    <w:abstractNumId w:val="17"/>
  </w:num>
  <w:num w:numId="32">
    <w:abstractNumId w:val="1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JjnW5JN2aQZHSyTZep9UFFHyLwTDgn09XrhkY776jBm92plwdFqy2eb48XYRBpFVNcE87bMNkVaLh0s42fnQFw==" w:salt="ZDboaFJ3YtSDK6sQSTyK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3A"/>
    <w:rsid w:val="00002344"/>
    <w:rsid w:val="00004514"/>
    <w:rsid w:val="000100EB"/>
    <w:rsid w:val="00014583"/>
    <w:rsid w:val="0001539A"/>
    <w:rsid w:val="00016544"/>
    <w:rsid w:val="0004168E"/>
    <w:rsid w:val="00051017"/>
    <w:rsid w:val="00080326"/>
    <w:rsid w:val="00084633"/>
    <w:rsid w:val="000A2F45"/>
    <w:rsid w:val="000C02B5"/>
    <w:rsid w:val="000C1316"/>
    <w:rsid w:val="000C265F"/>
    <w:rsid w:val="000C4AAF"/>
    <w:rsid w:val="000E00BF"/>
    <w:rsid w:val="000E6C83"/>
    <w:rsid w:val="000E706E"/>
    <w:rsid w:val="000F6330"/>
    <w:rsid w:val="00101F60"/>
    <w:rsid w:val="00106D2B"/>
    <w:rsid w:val="00117BC7"/>
    <w:rsid w:val="00123EED"/>
    <w:rsid w:val="00130F73"/>
    <w:rsid w:val="00162DE8"/>
    <w:rsid w:val="0016364F"/>
    <w:rsid w:val="00173E58"/>
    <w:rsid w:val="00183FAC"/>
    <w:rsid w:val="0018417B"/>
    <w:rsid w:val="001B29E9"/>
    <w:rsid w:val="001C41C9"/>
    <w:rsid w:val="001D2BDC"/>
    <w:rsid w:val="001F78C3"/>
    <w:rsid w:val="002102D1"/>
    <w:rsid w:val="002460D3"/>
    <w:rsid w:val="00250207"/>
    <w:rsid w:val="00250420"/>
    <w:rsid w:val="00273DAA"/>
    <w:rsid w:val="00274C5D"/>
    <w:rsid w:val="00281CA4"/>
    <w:rsid w:val="00292BB5"/>
    <w:rsid w:val="00294A56"/>
    <w:rsid w:val="002A6AC4"/>
    <w:rsid w:val="002B4202"/>
    <w:rsid w:val="002C1470"/>
    <w:rsid w:val="002E133E"/>
    <w:rsid w:val="002E36D5"/>
    <w:rsid w:val="00302EF5"/>
    <w:rsid w:val="00303F32"/>
    <w:rsid w:val="0031295E"/>
    <w:rsid w:val="00336EA2"/>
    <w:rsid w:val="003712C1"/>
    <w:rsid w:val="003921BF"/>
    <w:rsid w:val="003946BF"/>
    <w:rsid w:val="003A032A"/>
    <w:rsid w:val="003B2B09"/>
    <w:rsid w:val="003B5019"/>
    <w:rsid w:val="003E4FE8"/>
    <w:rsid w:val="00411E32"/>
    <w:rsid w:val="00413891"/>
    <w:rsid w:val="0041475F"/>
    <w:rsid w:val="0042519A"/>
    <w:rsid w:val="00443B39"/>
    <w:rsid w:val="004465F5"/>
    <w:rsid w:val="004473CB"/>
    <w:rsid w:val="00456833"/>
    <w:rsid w:val="00463511"/>
    <w:rsid w:val="00467A4B"/>
    <w:rsid w:val="00497815"/>
    <w:rsid w:val="004A0793"/>
    <w:rsid w:val="004B2702"/>
    <w:rsid w:val="004B37CA"/>
    <w:rsid w:val="004C397A"/>
    <w:rsid w:val="004C4FFB"/>
    <w:rsid w:val="004D679C"/>
    <w:rsid w:val="00502DFB"/>
    <w:rsid w:val="00527D13"/>
    <w:rsid w:val="00550EF2"/>
    <w:rsid w:val="00561D30"/>
    <w:rsid w:val="00564A09"/>
    <w:rsid w:val="0056609C"/>
    <w:rsid w:val="00567A75"/>
    <w:rsid w:val="005765C9"/>
    <w:rsid w:val="005829E8"/>
    <w:rsid w:val="005845D2"/>
    <w:rsid w:val="00591B5E"/>
    <w:rsid w:val="005A548D"/>
    <w:rsid w:val="005A6695"/>
    <w:rsid w:val="005B1F6C"/>
    <w:rsid w:val="005B5AC5"/>
    <w:rsid w:val="005C0566"/>
    <w:rsid w:val="005C1BA1"/>
    <w:rsid w:val="005D036D"/>
    <w:rsid w:val="005D3E28"/>
    <w:rsid w:val="005E026C"/>
    <w:rsid w:val="005F5D69"/>
    <w:rsid w:val="005F723A"/>
    <w:rsid w:val="00610BAD"/>
    <w:rsid w:val="006250D8"/>
    <w:rsid w:val="00625469"/>
    <w:rsid w:val="00637CBF"/>
    <w:rsid w:val="0064037A"/>
    <w:rsid w:val="00640B51"/>
    <w:rsid w:val="006450D7"/>
    <w:rsid w:val="00646E86"/>
    <w:rsid w:val="00654226"/>
    <w:rsid w:val="00654957"/>
    <w:rsid w:val="00660B7B"/>
    <w:rsid w:val="0066275B"/>
    <w:rsid w:val="00674586"/>
    <w:rsid w:val="006A2972"/>
    <w:rsid w:val="006A46F5"/>
    <w:rsid w:val="006A7017"/>
    <w:rsid w:val="006C5159"/>
    <w:rsid w:val="006E20D4"/>
    <w:rsid w:val="006F41D5"/>
    <w:rsid w:val="00701B03"/>
    <w:rsid w:val="00714CA3"/>
    <w:rsid w:val="00725007"/>
    <w:rsid w:val="00742888"/>
    <w:rsid w:val="007463D0"/>
    <w:rsid w:val="007510D7"/>
    <w:rsid w:val="00757346"/>
    <w:rsid w:val="00766954"/>
    <w:rsid w:val="00767055"/>
    <w:rsid w:val="007779C8"/>
    <w:rsid w:val="00785A63"/>
    <w:rsid w:val="00786A27"/>
    <w:rsid w:val="00793998"/>
    <w:rsid w:val="007B4B8E"/>
    <w:rsid w:val="007D07C6"/>
    <w:rsid w:val="007F6603"/>
    <w:rsid w:val="008068B3"/>
    <w:rsid w:val="00813AF0"/>
    <w:rsid w:val="00835CDD"/>
    <w:rsid w:val="00842E47"/>
    <w:rsid w:val="008746B1"/>
    <w:rsid w:val="0089617A"/>
    <w:rsid w:val="008A7C39"/>
    <w:rsid w:val="008B074B"/>
    <w:rsid w:val="008B3083"/>
    <w:rsid w:val="008E11C1"/>
    <w:rsid w:val="008E30AE"/>
    <w:rsid w:val="008E3D05"/>
    <w:rsid w:val="008F40B2"/>
    <w:rsid w:val="008F7499"/>
    <w:rsid w:val="009000BF"/>
    <w:rsid w:val="009115D0"/>
    <w:rsid w:val="00917DB9"/>
    <w:rsid w:val="00923484"/>
    <w:rsid w:val="0092386C"/>
    <w:rsid w:val="00925C79"/>
    <w:rsid w:val="009432B3"/>
    <w:rsid w:val="00950AE0"/>
    <w:rsid w:val="00951C25"/>
    <w:rsid w:val="009836B7"/>
    <w:rsid w:val="009A416A"/>
    <w:rsid w:val="009E2C51"/>
    <w:rsid w:val="009E379D"/>
    <w:rsid w:val="009E56D8"/>
    <w:rsid w:val="00A004F7"/>
    <w:rsid w:val="00A00E40"/>
    <w:rsid w:val="00A04FBB"/>
    <w:rsid w:val="00A105A4"/>
    <w:rsid w:val="00A245FE"/>
    <w:rsid w:val="00A30604"/>
    <w:rsid w:val="00A34AD0"/>
    <w:rsid w:val="00A40400"/>
    <w:rsid w:val="00A42895"/>
    <w:rsid w:val="00A8027B"/>
    <w:rsid w:val="00A869AC"/>
    <w:rsid w:val="00A86C61"/>
    <w:rsid w:val="00AA7687"/>
    <w:rsid w:val="00AC45CA"/>
    <w:rsid w:val="00AC5A98"/>
    <w:rsid w:val="00AD1330"/>
    <w:rsid w:val="00AD3E96"/>
    <w:rsid w:val="00AE0316"/>
    <w:rsid w:val="00AF22C3"/>
    <w:rsid w:val="00B03D06"/>
    <w:rsid w:val="00B0748B"/>
    <w:rsid w:val="00B15148"/>
    <w:rsid w:val="00B23A75"/>
    <w:rsid w:val="00B256FC"/>
    <w:rsid w:val="00B26086"/>
    <w:rsid w:val="00B42684"/>
    <w:rsid w:val="00B52B95"/>
    <w:rsid w:val="00B67357"/>
    <w:rsid w:val="00B812E4"/>
    <w:rsid w:val="00B95F4F"/>
    <w:rsid w:val="00B97295"/>
    <w:rsid w:val="00BB3881"/>
    <w:rsid w:val="00BD668F"/>
    <w:rsid w:val="00C0493D"/>
    <w:rsid w:val="00C07BDC"/>
    <w:rsid w:val="00C20722"/>
    <w:rsid w:val="00C20BC1"/>
    <w:rsid w:val="00C26E5F"/>
    <w:rsid w:val="00C3585B"/>
    <w:rsid w:val="00C369FB"/>
    <w:rsid w:val="00C45C57"/>
    <w:rsid w:val="00C63F51"/>
    <w:rsid w:val="00CA28EB"/>
    <w:rsid w:val="00CB7B9A"/>
    <w:rsid w:val="00CC566B"/>
    <w:rsid w:val="00CE0F30"/>
    <w:rsid w:val="00CF1E95"/>
    <w:rsid w:val="00CF47BC"/>
    <w:rsid w:val="00CF7A30"/>
    <w:rsid w:val="00D32247"/>
    <w:rsid w:val="00D36DBA"/>
    <w:rsid w:val="00D416D8"/>
    <w:rsid w:val="00D44628"/>
    <w:rsid w:val="00D64DA0"/>
    <w:rsid w:val="00D80ACE"/>
    <w:rsid w:val="00D87585"/>
    <w:rsid w:val="00D91466"/>
    <w:rsid w:val="00D944EF"/>
    <w:rsid w:val="00D94FE2"/>
    <w:rsid w:val="00D96A81"/>
    <w:rsid w:val="00D97E2B"/>
    <w:rsid w:val="00DE1AFB"/>
    <w:rsid w:val="00DE79B6"/>
    <w:rsid w:val="00DF0FB7"/>
    <w:rsid w:val="00E076BA"/>
    <w:rsid w:val="00E155AC"/>
    <w:rsid w:val="00E562E7"/>
    <w:rsid w:val="00E625C8"/>
    <w:rsid w:val="00E65DBE"/>
    <w:rsid w:val="00E839C7"/>
    <w:rsid w:val="00E95AF8"/>
    <w:rsid w:val="00E96AB3"/>
    <w:rsid w:val="00ED20B0"/>
    <w:rsid w:val="00ED4941"/>
    <w:rsid w:val="00EF6DDB"/>
    <w:rsid w:val="00EF7A92"/>
    <w:rsid w:val="00F00B32"/>
    <w:rsid w:val="00F063D8"/>
    <w:rsid w:val="00F45BF4"/>
    <w:rsid w:val="00F475A8"/>
    <w:rsid w:val="00F52A95"/>
    <w:rsid w:val="00F559F6"/>
    <w:rsid w:val="00F65521"/>
    <w:rsid w:val="00F66721"/>
    <w:rsid w:val="00F8473A"/>
    <w:rsid w:val="00F9051D"/>
    <w:rsid w:val="00F97DAF"/>
    <w:rsid w:val="00F97DCE"/>
    <w:rsid w:val="00FB10DE"/>
    <w:rsid w:val="00FC354E"/>
    <w:rsid w:val="00FD19B3"/>
    <w:rsid w:val="00FD6C6A"/>
    <w:rsid w:val="00FE33E2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7361D2"/>
  <w15:chartTrackingRefBased/>
  <w15:docId w15:val="{A95CE871-B2F6-488C-94E6-1705F029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cessdata.fda.gov/scripts/cdrh/cfdocs/cfCFR/CFRSearch.cfm?FR=812.2" TargetMode="External"/><Relationship Id="rId18" Type="http://schemas.openxmlformats.org/officeDocument/2006/relationships/hyperlink" Target="https://www.fda.gov/downloads/RegulatoryInformation/Guidances/UCM127067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gi-bin/text-idx?SID=de5cdff7475bb7bf1d2e981005245bb5&amp;mc=true&amp;node=pt21.8.809&amp;rgn=div5" TargetMode="External"/><Relationship Id="rId17" Type="http://schemas.openxmlformats.org/officeDocument/2006/relationships/hyperlink" Target="https://www.ecfr.gov/cgi-bin/text-idx?SID=be09a3cc8d632197deb057da7f395fe9&amp;mc=true&amp;node=pt21.8.812&amp;rgn=div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downloads/RegulatoryInformation/Guidances/UCM127067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downloads/RegulatoryInformation/Guidances/UCM12641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cfr.gov/cgi-bin/text-idx?SID=be09a3cc8d632197deb057da7f395fe9&amp;mc=true&amp;node=pt21.8.812&amp;rgn=div5" TargetMode="External"/><Relationship Id="rId10" Type="http://schemas.openxmlformats.org/officeDocument/2006/relationships/hyperlink" Target="https://www.ecfr.gov/cgi-bin/text-idx?SID=a21c0d1d1486ca875939925ce3447681&amp;mc=true&amp;node=pt21.8.812&amp;rgn=div5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da.gov/MedicalDevices/DeviceRegulationandGuidance/HowtoMarketYourDevice/InvestigationalDeviceExemptionIDE/ucm046706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4818ACA242458A27AAED264F3B0D" ma:contentTypeVersion="0" ma:contentTypeDescription="Create a new document." ma:contentTypeScope="" ma:versionID="b7dc68f24b8cc00114eab6696e9769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CE838D3-F69B-495F-97ED-FC7D02DEE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AE693-F565-4A26-930A-0C6DB1E655D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5D8EB5-5DC4-4721-8E6B-3513A49E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Michael W.</dc:creator>
  <cp:keywords/>
  <dc:description/>
  <cp:lastModifiedBy>Bailey, Michael W.</cp:lastModifiedBy>
  <cp:revision>3</cp:revision>
  <cp:lastPrinted>2017-04-04T17:53:00Z</cp:lastPrinted>
  <dcterms:created xsi:type="dcterms:W3CDTF">2017-07-20T15:40:00Z</dcterms:created>
  <dcterms:modified xsi:type="dcterms:W3CDTF">2017-08-23T16:12:00Z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0x010100BCF74818ACA242458A27AAED264F3B0D</vt:lpwstr>
  </property>
</Properties>
</file>